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DF" w:rsidRDefault="00BB17DF" w:rsidP="00BB17DF">
      <w:pPr>
        <w:keepNext/>
        <w:autoSpaceDE w:val="0"/>
        <w:autoSpaceDN w:val="0"/>
        <w:adjustRightInd w:val="0"/>
        <w:spacing w:before="91" w:after="60" w:line="241" w:lineRule="auto"/>
        <w:ind w:left="474" w:right="5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182. sorszámú Pénzügyi projektmenedzser-asszisztens megnevezésű részszakképesítés szakmai és vizsgakövetelménye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részszakképesítés azonosító száma: 51 344 06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Részszakképesítés megnevezése: Pénzügyi projektmenedzser-asszisztens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640-960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Bemeneti kompetenciák: -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70%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30%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ind w:left="536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részszakképesítéssel legjellemzőbben betölthető munkakörök, foglalkozások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28"/>
        <w:gridCol w:w="1416"/>
        <w:gridCol w:w="2552"/>
        <w:gridCol w:w="5166"/>
      </w:tblGrid>
      <w:tr w:rsidR="00BB17DF" w:rsidTr="00F8422A">
        <w:trPr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2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16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B17DF" w:rsidTr="00F8422A">
        <w:trPr>
          <w:trHeight w:val="661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8" w:after="0" w:line="275" w:lineRule="exact"/>
              <w:ind w:left="3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</w:t>
            </w:r>
          </w:p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552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16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11" w:right="562" w:hanging="9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részszakképesítéssel betölthető munkakör(ök)</w:t>
            </w:r>
          </w:p>
        </w:tc>
      </w:tr>
      <w:tr w:rsidR="00BB17DF" w:rsidTr="00F8422A">
        <w:trPr>
          <w:cantSplit/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6" w:type="dxa"/>
            <w:vMerge w:val="restart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44" w:after="0" w:line="240" w:lineRule="auto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2552" w:type="dxa"/>
            <w:vMerge w:val="restart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44" w:after="0" w:line="240" w:lineRule="auto"/>
              <w:ind w:left="-1" w:right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ügyintéző (a pénzintézeti ügyintéző kivételével)</w:t>
            </w:r>
          </w:p>
        </w:tc>
        <w:tc>
          <w:tcPr>
            <w:tcW w:w="516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asszisztens</w:t>
            </w:r>
          </w:p>
        </w:tc>
      </w:tr>
      <w:tr w:rsidR="00BB17DF" w:rsidTr="00F8422A">
        <w:trPr>
          <w:cantSplit/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16" w:type="dxa"/>
            <w:vMerge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koordinátor</w:t>
            </w:r>
          </w:p>
        </w:tc>
      </w:tr>
      <w:tr w:rsidR="00BB17DF" w:rsidTr="00F8422A">
        <w:trPr>
          <w:cantSplit/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16" w:type="dxa"/>
            <w:vMerge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referens</w:t>
            </w:r>
          </w:p>
        </w:tc>
      </w:tr>
      <w:tr w:rsidR="00BB17DF" w:rsidTr="00F8422A">
        <w:trPr>
          <w:cantSplit/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16" w:type="dxa"/>
            <w:vMerge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projektmenedzser</w:t>
            </w:r>
          </w:p>
        </w:tc>
      </w:tr>
      <w:tr w:rsidR="00BB17DF" w:rsidTr="00F8422A">
        <w:trPr>
          <w:cantSplit/>
          <w:trHeight w:hRule="exact" w:val="288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16" w:type="dxa"/>
            <w:vMerge w:val="restart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35" w:after="0" w:line="240" w:lineRule="auto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2552" w:type="dxa"/>
            <w:vMerge w:val="restart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120" w:firstLin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Pénzügyi, statisztikai, biztosítási adminisztrátor</w:t>
            </w:r>
          </w:p>
        </w:tc>
        <w:tc>
          <w:tcPr>
            <w:tcW w:w="516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nyilvántartó</w:t>
            </w:r>
          </w:p>
        </w:tc>
      </w:tr>
      <w:tr w:rsidR="00BB17DF" w:rsidTr="00F8422A">
        <w:trPr>
          <w:cantSplit/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16" w:type="dxa"/>
            <w:vMerge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ügyintéző</w:t>
            </w:r>
          </w:p>
        </w:tc>
      </w:tr>
      <w:tr w:rsidR="00BB17DF" w:rsidTr="00F8422A">
        <w:trPr>
          <w:trHeight w:hRule="exact" w:val="564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30" w:after="0" w:line="240" w:lineRule="auto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1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30" w:after="0" w:line="240" w:lineRule="auto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2552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941" w:firstLin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irodai adminisztrátor</w:t>
            </w:r>
          </w:p>
        </w:tc>
        <w:tc>
          <w:tcPr>
            <w:tcW w:w="516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30"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adminisztrátor</w:t>
            </w:r>
          </w:p>
        </w:tc>
      </w:tr>
      <w:tr w:rsidR="00BB17DF" w:rsidTr="00F8422A">
        <w:trPr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41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2552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Iratkezelő, irattáros</w:t>
            </w:r>
          </w:p>
        </w:tc>
        <w:tc>
          <w:tcPr>
            <w:tcW w:w="5166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Iratkezelő</w:t>
            </w:r>
          </w:p>
        </w:tc>
      </w:tr>
      <w:tr w:rsidR="00BB17DF" w:rsidTr="00F8422A">
        <w:trPr>
          <w:cantSplit/>
          <w:trHeight w:hRule="exact" w:val="628"/>
        </w:trPr>
        <w:tc>
          <w:tcPr>
            <w:tcW w:w="1128" w:type="dxa"/>
            <w:vAlign w:val="center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3.1.10.</w:t>
            </w:r>
          </w:p>
        </w:tc>
        <w:tc>
          <w:tcPr>
            <w:tcW w:w="1416" w:type="dxa"/>
            <w:vMerge w:val="restart"/>
            <w:vAlign w:val="center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</w:t>
            </w:r>
          </w:p>
        </w:tc>
        <w:tc>
          <w:tcPr>
            <w:tcW w:w="2552" w:type="dxa"/>
            <w:vMerge w:val="restart"/>
            <w:vAlign w:val="center"/>
          </w:tcPr>
          <w:p w:rsidR="00BB17DF" w:rsidRDefault="00BB17DF" w:rsidP="00F8422A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ügyintéző</w:t>
            </w:r>
          </w:p>
        </w:tc>
        <w:tc>
          <w:tcPr>
            <w:tcW w:w="5166" w:type="dxa"/>
            <w:vAlign w:val="center"/>
          </w:tcPr>
          <w:p w:rsidR="00BB17DF" w:rsidRDefault="00BB17DF" w:rsidP="00F8422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Pályázatíró asszisztens</w:t>
            </w:r>
          </w:p>
        </w:tc>
      </w:tr>
      <w:tr w:rsidR="00BB17DF" w:rsidTr="00F8422A">
        <w:trPr>
          <w:cantSplit/>
          <w:trHeight w:hRule="exact" w:val="628"/>
        </w:trPr>
        <w:tc>
          <w:tcPr>
            <w:tcW w:w="1128" w:type="dxa"/>
            <w:vAlign w:val="center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416" w:type="dxa"/>
            <w:vMerge/>
            <w:vAlign w:val="center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B17DF" w:rsidRDefault="00BB17DF" w:rsidP="00F8422A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6" w:type="dxa"/>
            <w:vAlign w:val="center"/>
          </w:tcPr>
          <w:p w:rsidR="00BB17DF" w:rsidRDefault="00BB17DF" w:rsidP="00F8422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Uniós projektek ügyintézője</w:t>
            </w:r>
          </w:p>
        </w:tc>
      </w:tr>
      <w:tr w:rsidR="00BB17DF" w:rsidTr="00F8422A">
        <w:trPr>
          <w:cantSplit/>
          <w:trHeight w:hRule="exact" w:val="628"/>
        </w:trPr>
        <w:tc>
          <w:tcPr>
            <w:tcW w:w="1128" w:type="dxa"/>
            <w:vAlign w:val="center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416" w:type="dxa"/>
            <w:vMerge/>
            <w:vAlign w:val="center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B17DF" w:rsidRDefault="00BB17DF" w:rsidP="00F8422A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6" w:type="dxa"/>
            <w:vAlign w:val="center"/>
          </w:tcPr>
          <w:p w:rsidR="00BB17DF" w:rsidRDefault="00BB17DF" w:rsidP="00F8422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Projektmenedzser asszisztens</w:t>
            </w:r>
          </w:p>
        </w:tc>
      </w:tr>
    </w:tbl>
    <w:p w:rsidR="00BB17DF" w:rsidRDefault="00BB17DF" w:rsidP="00BB17DF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before="6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ind w:right="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pénzügyi projektmenedzser-asszisztens alkalmas vállalkozások és intézmények projekttevékenységének lebonyolításában való közreműködésre a dokumentáció kezelésétől a projektek pénzügyi menedzselésére az előfinanszírozástól a program lezárásáig.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rendelkező képes:</w:t>
      </w:r>
    </w:p>
    <w:p w:rsidR="00BB17DF" w:rsidRDefault="00BB17DF" w:rsidP="00BB17DF">
      <w:pPr>
        <w:widowControl w:val="0"/>
        <w:tabs>
          <w:tab w:val="left" w:pos="1188"/>
        </w:tabs>
        <w:autoSpaceDE w:val="0"/>
        <w:autoSpaceDN w:val="0"/>
        <w:adjustRightInd w:val="0"/>
        <w:spacing w:before="24" w:after="0" w:line="240" w:lineRule="auto"/>
        <w:ind w:left="118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tervezési folyamattól a projektcélok megvalósításában</w:t>
      </w:r>
    </w:p>
    <w:p w:rsidR="00BB17DF" w:rsidRDefault="00BB17DF" w:rsidP="00BB17DF">
      <w:pPr>
        <w:widowControl w:val="0"/>
        <w:tabs>
          <w:tab w:val="left" w:pos="1188"/>
        </w:tabs>
        <w:autoSpaceDE w:val="0"/>
        <w:autoSpaceDN w:val="0"/>
        <w:adjustRightInd w:val="0"/>
        <w:spacing w:before="24" w:after="0" w:line="240" w:lineRule="auto"/>
        <w:ind w:left="118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elősegíteni a szükséges erőforrások biztosítását</w:t>
      </w:r>
    </w:p>
    <w:p w:rsidR="00BB17DF" w:rsidRDefault="00BB17DF" w:rsidP="00BB17DF">
      <w:pPr>
        <w:widowControl w:val="0"/>
        <w:tabs>
          <w:tab w:val="left" w:pos="1188"/>
        </w:tabs>
        <w:autoSpaceDE w:val="0"/>
        <w:autoSpaceDN w:val="0"/>
        <w:adjustRightInd w:val="0"/>
        <w:spacing w:before="24" w:after="0" w:line="240" w:lineRule="auto"/>
        <w:ind w:left="118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projektre vonatkozó jogszabályokat és szakmai előírásokat</w:t>
      </w:r>
    </w:p>
    <w:p w:rsidR="00BB17DF" w:rsidRDefault="00BB17DF" w:rsidP="00BB17DF">
      <w:pPr>
        <w:widowControl w:val="0"/>
        <w:tabs>
          <w:tab w:val="left" w:pos="1188"/>
        </w:tabs>
        <w:autoSpaceDE w:val="0"/>
        <w:autoSpaceDN w:val="0"/>
        <w:adjustRightInd w:val="0"/>
        <w:spacing w:before="24" w:after="0" w:line="260" w:lineRule="auto"/>
        <w:ind w:left="1187" w:right="54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segíteni a projekt működéséhez szükséges információáramlást és az információk naprakész kezelését</w:t>
      </w:r>
    </w:p>
    <w:p w:rsidR="00BB17DF" w:rsidRDefault="00BB17DF" w:rsidP="00BB17DF">
      <w:pPr>
        <w:widowControl w:val="0"/>
        <w:tabs>
          <w:tab w:val="left" w:pos="1188"/>
        </w:tabs>
        <w:autoSpaceDE w:val="0"/>
        <w:autoSpaceDN w:val="0"/>
        <w:adjustRightInd w:val="0"/>
        <w:spacing w:before="1" w:after="0" w:line="240" w:lineRule="auto"/>
        <w:ind w:left="118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irodai szoftvereket használni</w:t>
      </w:r>
    </w:p>
    <w:p w:rsidR="00BB17DF" w:rsidRDefault="00BB17DF" w:rsidP="00BB17DF">
      <w:pPr>
        <w:widowControl w:val="0"/>
        <w:tabs>
          <w:tab w:val="left" w:pos="1188"/>
        </w:tabs>
        <w:autoSpaceDE w:val="0"/>
        <w:autoSpaceDN w:val="0"/>
        <w:adjustRightInd w:val="0"/>
        <w:spacing w:before="24" w:after="0" w:line="260" w:lineRule="auto"/>
        <w:ind w:left="1187" w:right="54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munkaköréhez kapcsolódó hagyományos és digitális dokumentumokat készíteni és rendszerezni, iratkezelést végezni</w:t>
      </w:r>
    </w:p>
    <w:p w:rsidR="00BB17DF" w:rsidRDefault="00BB17DF" w:rsidP="00BB17DF">
      <w:pPr>
        <w:widowControl w:val="0"/>
        <w:tabs>
          <w:tab w:val="left" w:pos="1188"/>
        </w:tabs>
        <w:autoSpaceDE w:val="0"/>
        <w:autoSpaceDN w:val="0"/>
        <w:adjustRightInd w:val="0"/>
        <w:spacing w:before="1" w:after="0" w:line="240" w:lineRule="auto"/>
        <w:ind w:left="118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összegyűjteni az adatokat további feldolgozás céljából</w:t>
      </w:r>
    </w:p>
    <w:p w:rsidR="00BB17DF" w:rsidRDefault="00BB17DF" w:rsidP="00BB17DF">
      <w:pPr>
        <w:widowControl w:val="0"/>
        <w:tabs>
          <w:tab w:val="left" w:pos="1188"/>
        </w:tabs>
        <w:autoSpaceDE w:val="0"/>
        <w:autoSpaceDN w:val="0"/>
        <w:adjustRightInd w:val="0"/>
        <w:spacing w:before="24" w:after="0" w:line="260" w:lineRule="auto"/>
        <w:ind w:left="1187" w:right="54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kialakítani az ügyviteli, illetve dokumentációs rendszert, részt venni annak fenntartásában</w:t>
      </w:r>
    </w:p>
    <w:p w:rsidR="00BB17DF" w:rsidRDefault="00BB17DF" w:rsidP="00BB17DF">
      <w:pPr>
        <w:widowControl w:val="0"/>
        <w:tabs>
          <w:tab w:val="left" w:pos="1188"/>
        </w:tabs>
        <w:autoSpaceDE w:val="0"/>
        <w:autoSpaceDN w:val="0"/>
        <w:adjustRightInd w:val="0"/>
        <w:spacing w:before="1" w:after="0" w:line="240" w:lineRule="auto"/>
        <w:ind w:left="118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felkutatni a pályázati lehetőségeket</w:t>
      </w:r>
    </w:p>
    <w:p w:rsidR="00BB17DF" w:rsidRDefault="00BB17DF" w:rsidP="00BB17DF">
      <w:pPr>
        <w:widowControl w:val="0"/>
        <w:tabs>
          <w:tab w:val="left" w:pos="1188"/>
        </w:tabs>
        <w:autoSpaceDE w:val="0"/>
        <w:autoSpaceDN w:val="0"/>
        <w:adjustRightInd w:val="0"/>
        <w:spacing w:before="24" w:after="0" w:line="240" w:lineRule="auto"/>
        <w:ind w:left="118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pályázat megírásában a pénzügyi fejezetek kidolgozásával</w:t>
      </w:r>
    </w:p>
    <w:p w:rsidR="00BB17DF" w:rsidRDefault="00BB17DF" w:rsidP="00BB17DF">
      <w:pPr>
        <w:widowControl w:val="0"/>
        <w:tabs>
          <w:tab w:val="left" w:pos="1188"/>
        </w:tabs>
        <w:autoSpaceDE w:val="0"/>
        <w:autoSpaceDN w:val="0"/>
        <w:adjustRightInd w:val="0"/>
        <w:spacing w:before="24" w:after="0" w:line="240" w:lineRule="auto"/>
        <w:ind w:left="118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javaslatot tenni a menedzsmentnek a projektfinanszírozás megvalósítására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28"/>
        <w:gridCol w:w="2835"/>
        <w:gridCol w:w="2835"/>
        <w:gridCol w:w="3464"/>
      </w:tblGrid>
      <w:tr w:rsidR="00BB17DF" w:rsidTr="00F8422A">
        <w:trPr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64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B17DF" w:rsidTr="00F8422A">
        <w:trPr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134" w:type="dxa"/>
            <w:gridSpan w:val="3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BB17DF" w:rsidTr="00F8422A">
        <w:trPr>
          <w:trHeight w:hRule="exact" w:val="32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64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B17DF" w:rsidTr="00F8422A">
        <w:trPr>
          <w:trHeight w:hRule="exact" w:val="562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30" w:after="0" w:line="240" w:lineRule="auto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30" w:after="0" w:line="240" w:lineRule="auto"/>
              <w:ind w:left="9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54 344 01</w:t>
            </w:r>
          </w:p>
        </w:tc>
        <w:tc>
          <w:tcPr>
            <w:tcW w:w="2835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-2" w:firstLin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Pénzügyi-számviteli</w:t>
            </w:r>
          </w:p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ügyintéző</w:t>
            </w:r>
          </w:p>
        </w:tc>
        <w:tc>
          <w:tcPr>
            <w:tcW w:w="3464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BB17DF" w:rsidTr="00F8422A">
        <w:trPr>
          <w:trHeight w:hRule="exact" w:val="562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30" w:after="0" w:line="240" w:lineRule="auto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5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30" w:after="0" w:line="240" w:lineRule="auto"/>
              <w:ind w:left="9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54 344 04</w:t>
            </w:r>
          </w:p>
        </w:tc>
        <w:tc>
          <w:tcPr>
            <w:tcW w:w="2835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-2" w:firstLin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Államháztartási</w:t>
            </w:r>
          </w:p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-2" w:firstLin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ügyintéző</w:t>
            </w:r>
          </w:p>
        </w:tc>
        <w:tc>
          <w:tcPr>
            <w:tcW w:w="3464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BB17DF" w:rsidRDefault="00BB17DF" w:rsidP="00BB17DF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before="64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28"/>
        <w:gridCol w:w="1700"/>
        <w:gridCol w:w="7434"/>
      </w:tblGrid>
      <w:tr w:rsidR="00BB17DF" w:rsidTr="00F8422A">
        <w:trPr>
          <w:trHeight w:hRule="exact" w:val="288"/>
        </w:trPr>
        <w:tc>
          <w:tcPr>
            <w:tcW w:w="1128" w:type="dxa"/>
          </w:tcPr>
          <w:p w:rsidR="00BB17DF" w:rsidRDefault="00BB17DF" w:rsidP="00F8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434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B17DF" w:rsidTr="00F8422A">
        <w:trPr>
          <w:trHeight w:hRule="exact" w:val="562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134" w:type="dxa"/>
            <w:gridSpan w:val="2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101" w:firstLine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 az állam által elismert szakképesítések szakmai követelménymoduljairól szóló kormányrendelet szerinti</w:t>
            </w:r>
          </w:p>
        </w:tc>
      </w:tr>
      <w:tr w:rsidR="00BB17DF" w:rsidTr="00F8422A">
        <w:trPr>
          <w:trHeight w:hRule="exact" w:val="562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0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333" w:hanging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434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megnevezése</w:t>
            </w:r>
          </w:p>
        </w:tc>
      </w:tr>
      <w:tr w:rsidR="00BB17DF" w:rsidTr="00F8422A">
        <w:trPr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0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11504-16</w:t>
            </w:r>
          </w:p>
        </w:tc>
        <w:tc>
          <w:tcPr>
            <w:tcW w:w="7434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alaptevékenység ellátása</w:t>
            </w:r>
          </w:p>
        </w:tc>
      </w:tr>
      <w:tr w:rsidR="00BB17DF" w:rsidTr="00F8422A">
        <w:trPr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0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11501-16</w:t>
            </w:r>
          </w:p>
        </w:tc>
        <w:tc>
          <w:tcPr>
            <w:tcW w:w="7434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Projektfinanszírozás</w:t>
            </w:r>
          </w:p>
        </w:tc>
      </w:tr>
      <w:tr w:rsidR="00BB17DF" w:rsidTr="00F8422A">
        <w:trPr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0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11502-12</w:t>
            </w:r>
          </w:p>
        </w:tc>
        <w:tc>
          <w:tcPr>
            <w:tcW w:w="7434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Projektfolyamatok követése</w:t>
            </w:r>
          </w:p>
        </w:tc>
      </w:tr>
    </w:tbl>
    <w:p w:rsidR="00BB17DF" w:rsidRDefault="00BB17DF" w:rsidP="00BB17DF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before="64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szakképzésben: az 5.2. pontban előírt valamennyi modulzáró vizsga eredményes letétele.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28"/>
        <w:gridCol w:w="1700"/>
        <w:gridCol w:w="3401"/>
        <w:gridCol w:w="4033"/>
      </w:tblGrid>
      <w:tr w:rsidR="00BB17DF" w:rsidTr="00F8422A">
        <w:trPr>
          <w:trHeight w:hRule="exact" w:val="288"/>
        </w:trPr>
        <w:tc>
          <w:tcPr>
            <w:tcW w:w="1128" w:type="dxa"/>
          </w:tcPr>
          <w:p w:rsidR="00BB17DF" w:rsidRDefault="00BB17DF" w:rsidP="00F8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1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33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B17DF" w:rsidTr="00F8422A">
        <w:trPr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134" w:type="dxa"/>
            <w:gridSpan w:val="3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</w:t>
            </w:r>
          </w:p>
        </w:tc>
      </w:tr>
      <w:tr w:rsidR="00BB17DF" w:rsidTr="00F8422A">
        <w:trPr>
          <w:trHeight w:val="573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49" w:after="0" w:line="240" w:lineRule="auto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0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22" w:right="362" w:hanging="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1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033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14" w:right="696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BB17DF" w:rsidTr="00F8422A">
        <w:trPr>
          <w:trHeight w:hRule="exact" w:val="562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27" w:after="0" w:line="240" w:lineRule="auto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0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27" w:after="0" w:line="240" w:lineRule="auto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11504-16</w:t>
            </w:r>
          </w:p>
        </w:tc>
        <w:tc>
          <w:tcPr>
            <w:tcW w:w="3401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377" w:firstLin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alaptevékenység ellátása</w:t>
            </w:r>
          </w:p>
        </w:tc>
        <w:tc>
          <w:tcPr>
            <w:tcW w:w="4033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118"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BB17DF" w:rsidTr="00F8422A">
        <w:trPr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0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11501-16</w:t>
            </w:r>
          </w:p>
        </w:tc>
        <w:tc>
          <w:tcPr>
            <w:tcW w:w="3401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Projektfinanszírozás</w:t>
            </w:r>
          </w:p>
        </w:tc>
        <w:tc>
          <w:tcPr>
            <w:tcW w:w="4033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B17DF" w:rsidTr="00F8422A">
        <w:trPr>
          <w:trHeight w:hRule="exact" w:val="286"/>
        </w:trPr>
        <w:tc>
          <w:tcPr>
            <w:tcW w:w="1128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00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11502-12</w:t>
            </w:r>
          </w:p>
        </w:tc>
        <w:tc>
          <w:tcPr>
            <w:tcW w:w="3401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Projektfolyamatok követése</w:t>
            </w:r>
          </w:p>
        </w:tc>
        <w:tc>
          <w:tcPr>
            <w:tcW w:w="4033" w:type="dxa"/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BB17DF" w:rsidRDefault="00BB17DF" w:rsidP="00BB17DF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before="6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csak akkor eredményes, ha valamennyi követelménymodulhoz rendelt modulzáró vizsgatevékenységet a jelölt külön-külön legalább 50%-os szinten teljesíti.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Esettanulmány összeállítása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Megadott feltételek alapján a projekttervezés és -finanszírozás témakörében esettanulmány összeállítása számítógépes programok igénybevételével. A központi gyakorlati feladatlap a szakképesítésért felelős miniszter által kiadott és a honlapján közzétett Útmutató alapján kerül összeállításra. Az útmutató tartalmazza, hogy milyen módon kell a vizsgázók vizsgafeladatainak megoldásait rögzíteni.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180 perc 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ind w:right="60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60%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480" w:lineRule="auto"/>
        <w:ind w:right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5.3.2.Központi írásbeli vizsgatevékenység: - 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480" w:lineRule="auto"/>
        <w:ind w:left="116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– 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480" w:lineRule="auto"/>
        <w:ind w:left="116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6" w:after="0" w:line="240" w:lineRule="auto"/>
        <w:ind w:left="116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ind w:left="116"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Projektmenedzsment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tételsor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11501-16 Projektfinanszírozás és a 11502-12 Projektfolyamatok követése követelménymodulok ismeretkompetenciáihoz </w:t>
      </w:r>
      <w:r>
        <w:rPr>
          <w:rFonts w:ascii="Times New Roman" w:hAnsi="Times New Roman" w:cs="Times New Roman"/>
          <w:sz w:val="20"/>
          <w:szCs w:val="20"/>
        </w:rPr>
        <w:t>kapcsolódó szakmai követelmények megadott témaköreinek mindegyikét tartalmazza.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20 perc (ebből felkészülési idő 10 perc) 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40%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vizsgatevékenységek szervezésére, lebonyolítására és az értékelésre vonatkozó szabályokat a honlapján közzéteszi.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vizsgatevékenységének  szabályszerűségét  a  vizsgabizottság  egy  tagja utólag, de legfeljebb a komplex szakmai vizsga megkezdése előtti 5. napig ellenőrizheti és a kiadott központi értékelési útmutatótól eltérő javítás esetén felülbírálja.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vizsgatevékenységek vizsgaidőpontjai  tekintetében a szakképesítésért  felelős  miniszter honlapján közreadott vizsganaptár az irányadó.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vizsgán kizárólag a szakképesítésért felelős miniszter honlapján közzétett segédeszközök használhatóak.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vizsga értékelésének a szakmai vizsgaszabályzattól eltérő szempontjai: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csak akkor kezdhető meg, ha a gyakorlati vizsgatevékenység vizsgafeladatát a vizsgázó legalább 50%-os szinten teljesítette.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vizsga egyes vizsgatevékenységeihez rendelt vizsgafeladatok érdemjegye az elért %-os teljesítmények alapján: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190"/>
        <w:gridCol w:w="1569"/>
      </w:tblGrid>
      <w:tr w:rsidR="00BB17DF" w:rsidTr="00F8422A">
        <w:trPr>
          <w:trHeight w:hRule="exact" w:val="318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90-100%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jeles (5)</w:t>
            </w:r>
          </w:p>
        </w:tc>
      </w:tr>
      <w:tr w:rsidR="00BB17DF" w:rsidTr="00F8422A">
        <w:trPr>
          <w:trHeight w:hRule="exact" w:val="27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80-89%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 (4)</w:t>
            </w:r>
          </w:p>
        </w:tc>
      </w:tr>
      <w:tr w:rsidR="00BB17DF" w:rsidTr="00F8422A">
        <w:trPr>
          <w:trHeight w:hRule="exact" w:val="27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65-79%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közepes (3)</w:t>
            </w:r>
          </w:p>
        </w:tc>
      </w:tr>
      <w:tr w:rsidR="00BB17DF" w:rsidTr="00F8422A">
        <w:trPr>
          <w:trHeight w:hRule="exact" w:val="27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50-64%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elégséges (2)</w:t>
            </w:r>
          </w:p>
        </w:tc>
      </w:tr>
      <w:tr w:rsidR="00BB17DF" w:rsidTr="00F8422A">
        <w:trPr>
          <w:trHeight w:hRule="exact" w:val="318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0-49%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elégtelen (1)</w:t>
            </w:r>
          </w:p>
        </w:tc>
      </w:tr>
    </w:tbl>
    <w:p w:rsidR="00BB17DF" w:rsidRDefault="00BB17DF" w:rsidP="00BB17DF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before="6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minden vizsgafeladat eredményes, úgy a komplex szakmai vizsga osztályzatát a vizsgafeladatonként elért érdemjegyek vizsgafeladat értékelési arányával súlyozott átlaga alapján két tizedesre kerekítve az általános szabályok szerint (0,50-től felfelé) kell meghatározni.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Sikertelen a komplex szakmai vizsga, ha annak bármelyik vizsgatevékenységéhez rendelt vizsgafeladatának érdemjegye elégtelen (1).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Javítóvizsgát abból a vizsgafeladatból kell tenni, amelyből a vizsgázó elért eredménye nem éri el az 50%-ot, illetve teljesítményét elégtelenre (1) minősítette a vizsgabizottság.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Felmentés esetén a beszámítás alapjául szolgáló dokumentumban az adott vizsgafeladathoz, vizsgarészhez rendelt értékelési teljesítményt (érdemjegy, osztályzat, teljesítményszázalék) kell figyelembe venni.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Teljesítményszázalék esetén az érdemjeggyé történő átváltás a komplex szakmai vizsga vizsgatevékenységeihez rendelt vizsgafeladatok értékelési besorolása alapján történik.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a felmentést adó dokumentumokban nincs értékelési eredmény, úgy a vizsgafeladat érdemjegye közepes (megfelelt), illetve szöveges értékelés esetén a „megfelelt” közepes, a „kiválóan megfelelt” jeles érdemjeggyel egyenértékű.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7"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ESZKÖZ- ÉS FELSZERELÉSI JEGYZÉK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134"/>
        <w:gridCol w:w="9128"/>
      </w:tblGrid>
      <w:tr w:rsidR="00BB17DF" w:rsidTr="00F8422A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B17DF" w:rsidTr="00F8422A">
        <w:trPr>
          <w:trHeight w:hRule="exact"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8" w:right="1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B17DF" w:rsidTr="00F8422A">
        <w:trPr>
          <w:trHeight w:hRule="exact"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Iratrendezők</w:t>
            </w:r>
          </w:p>
        </w:tc>
      </w:tr>
      <w:tr w:rsidR="00BB17DF" w:rsidTr="00F8422A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BB17DF" w:rsidTr="00F8422A">
        <w:trPr>
          <w:trHeight w:hRule="exact"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 (vágógép, spirálozó, kapcsológép, lyukasztó)</w:t>
            </w:r>
          </w:p>
        </w:tc>
      </w:tr>
      <w:tr w:rsidR="00BB17DF" w:rsidTr="00F8422A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BB17DF" w:rsidTr="00F8422A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BB17DF" w:rsidTr="00F8422A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BB17DF" w:rsidTr="00F8422A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BB17DF" w:rsidTr="00F8422A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</w:p>
        </w:tc>
      </w:tr>
      <w:tr w:rsidR="00BB17DF" w:rsidTr="00F8422A">
        <w:trPr>
          <w:trHeight w:hRule="exact"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szoftverek (szövegszerkesztő, táblázatkezelő, adatbázis-kezelő)</w:t>
            </w:r>
          </w:p>
        </w:tc>
      </w:tr>
      <w:tr w:rsidR="00BB17DF" w:rsidTr="00F8422A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Bizonylatok, formanyomtatványok</w:t>
            </w:r>
          </w:p>
        </w:tc>
      </w:tr>
      <w:tr w:rsidR="00BB17DF" w:rsidTr="00F8422A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Jogszabály gyűjtemény vagy számítógépes jogtár</w:t>
            </w:r>
          </w:p>
        </w:tc>
      </w:tr>
      <w:tr w:rsidR="00BB17DF" w:rsidTr="00F8422A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6.13.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Projekttervezést támogató szoftver</w:t>
            </w:r>
          </w:p>
        </w:tc>
      </w:tr>
      <w:tr w:rsidR="00BB17DF" w:rsidTr="00F8422A">
        <w:trPr>
          <w:trHeight w:hRule="exact"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DF" w:rsidRDefault="00BB17DF" w:rsidP="00F842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</w:tbl>
    <w:p w:rsidR="00BB17DF" w:rsidRDefault="00BB17DF" w:rsidP="00BB17DF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before="64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modulzáró vizsga kötelező tartalmi elemei: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vizsgára bocsátás feltételeként meghatározott szakmai követelménymodulokhoz rendelt 11501-16 Projektfinanszírozás modulzáró vizsga írásbeli és a 11502-12 Projektfolyamatok követése gyakorlati vizsgatevékenységének feladatait a szakmai követelményekkel összhangban a szakmai képzést folytató intézmény állítja össze.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11504-16 Gazdálkodási alaptevékenység ellátása</w:t>
      </w:r>
    </w:p>
    <w:p w:rsidR="00BB17DF" w:rsidRDefault="00BB17DF" w:rsidP="00BB17DF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ind w:left="287" w:hanging="2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Ügyviteli feladatok ellátása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szakmai képzést folytató intézmény által összeállított gyakorlati feladatlap a következő követelménytartalmakkal: hivatalos dokumentumok számítógépen történő elkészítése, adatbáziskezelő-program és internet használata a szakképesítésért felelős miniszter által kiadott Útmutató alapján. Az útmutató tartalmazza, hogy milyen módon kell a vizsgázók vizsgafeladatainak megoldásait rögzíteni.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tabs>
          <w:tab w:val="left" w:pos="401"/>
        </w:tabs>
        <w:autoSpaceDE w:val="0"/>
        <w:autoSpaceDN w:val="0"/>
        <w:adjustRightInd w:val="0"/>
        <w:spacing w:after="0" w:line="240" w:lineRule="auto"/>
        <w:ind w:left="40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Pénzügyi és adózáshoz kapcsolódó alapfeladatok ellátása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 írásbeli feladatlap alapján, mely a pénzügyi és adózáshoz kapcsolódó alapfeladatok követelményei megadott témaköreinek mindegyikét tartalmazhatja.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 (60 perc + 60 perc)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tabs>
          <w:tab w:val="left" w:pos="415"/>
        </w:tabs>
        <w:autoSpaceDE w:val="0"/>
        <w:autoSpaceDN w:val="0"/>
        <w:adjustRightInd w:val="0"/>
        <w:spacing w:after="0" w:line="240" w:lineRule="auto"/>
        <w:ind w:left="414" w:hanging="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Számviteli alapfeladatok ellátása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Központi írásbeli feladatlap alapján, mely a számviteli alapfeladatok követelményei megadott témaköreinek mindegyikét tartalmazhatja. 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modulzáró vizsgatevékenységek alóli felmentés feltételei: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közgazdasági felsőoktatás alapképzési szakjainak képesítési követelményeiről szóló 4/1996. (I. 18.) Korm. rendelet szerinti végzettséggel, illetve záróvizsgával vagy a felsőoktatási alap- és mesterképzésről, valamint a szakindítás eljárási rendjéről szóló 289/2005. (XII. 22.) Korm. rendelet szerinti gazdaságtudományok képzési területen szerzett végzettséggel, illetve záróvizsgával vagy a közgazdasági felsőoktatásban folyó szakirányú továbbképzési szakok képesítési követelményeiről szóló 7/1999. (II. 1.) OM rendelet, alapján szakirányú végzettséggel rendelkezik, felmentést kap a 11504-16 Gazdálkodási alaptevékenység ellátása modulzáró vizsga gyakorlati és írásbeli vizsgatevékenysége alól.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</w:t>
      </w:r>
      <w:r>
        <w:rPr>
          <w:rFonts w:ascii="Times New Roman" w:hAnsi="Times New Roman" w:cs="Times New Roman"/>
          <w:color w:val="000000"/>
          <w:sz w:val="20"/>
          <w:szCs w:val="20"/>
        </w:rPr>
        <w:t>Pályázati-támogatási asszisztens</w:t>
      </w:r>
      <w:r>
        <w:rPr>
          <w:rFonts w:ascii="Times New Roman" w:hAnsi="Times New Roman" w:cs="Times New Roman"/>
          <w:sz w:val="20"/>
          <w:szCs w:val="20"/>
        </w:rPr>
        <w:t>, vagy Vállalkozási ügyintéző, vagy Vállalkozási és bérügyintéző szakképesítéssel, illetve a Pénzügyi ügyintéző vagy Számviteli ügyintéző</w:t>
      </w:r>
      <w:r>
        <w:rPr>
          <w:rFonts w:ascii="Times New Roman" w:hAnsi="Times New Roman" w:cs="Times New Roman"/>
          <w:color w:val="000000"/>
          <w:sz w:val="20"/>
          <w:szCs w:val="20"/>
        </w:rPr>
        <w:t>, vagy Vállalkozási ügyintéző</w:t>
      </w:r>
      <w:r>
        <w:rPr>
          <w:rFonts w:ascii="Times New Roman" w:hAnsi="Times New Roman" w:cs="Times New Roman"/>
          <w:sz w:val="20"/>
          <w:szCs w:val="20"/>
        </w:rPr>
        <w:t xml:space="preserve"> részszakképesítéssel felmentést kap a 11504-16 Gazdálkodási alaptevékenység ellátása modulzáró vizsga gyakorlati és írásbeli vizsgatevékenysége alól.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rendelkezik az Államháztartási ügyintéző szakképesítéssel, illetve Adóügyintéző, vagy Költségvetési-gazdálkodási ügyintéző részszakképesítéssel felmentést kap a 11504-16 Gazdálkodási alaptevékenység ellátása modulzáró vizsga gyakorlati vizsgafeladata alól.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modulzáró vizsgák valamelyikének korábbi teljesítését hitelt érdemlően igazolja, mentesül a modulzáró vizsga ismételt teljesítésének kötelezettsége alól.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ind w:right="1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A szakmai vizsgabizottságban való részvételre kijelölt szakmai szervezet: Magyar Könyvvizsgálói Kamara,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Számviteli Szakemberek Egyesülete.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A komplex szakmai vizsgáztatás szabályairól szóló 315/2013. (VIII. 28.) Korm. rendelettől (továbbiakban: Korm. rendelet) eltérő rendelkezések:</w:t>
      </w:r>
    </w:p>
    <w:p w:rsidR="00BB17DF" w:rsidRDefault="00BB17DF" w:rsidP="00BB17DF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22. § (1) bekezdésben meghatározottól eltérően a szakmai vizsgát az első vizsgatevékenység napját követő 90 napon belül be kell fejezni.</w:t>
      </w:r>
    </w:p>
    <w:p w:rsidR="00BB17DF" w:rsidRDefault="00BB17DF" w:rsidP="00BB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35. § (6) bekezdésben meghatározottól eltérően a kijavított és értékelt írásbeli, valamint központi gyakorlati dolgozatot, az eredeti írásbeli és központi gyakorlati vizsgafeladat egy példányát, a javítási-</w:t>
      </w:r>
      <w:r>
        <w:rPr>
          <w:rFonts w:ascii="Times New Roman" w:hAnsi="Times New Roman" w:cs="Times New Roman"/>
          <w:sz w:val="20"/>
          <w:szCs w:val="20"/>
        </w:rPr>
        <w:lastRenderedPageBreak/>
        <w:t>értékelési útmutatókat a vizsga utolsó vizsgafeladatának megkezdése előtt legalább hét nappal el kell juttatni a vizsgaelnökhöz.</w:t>
      </w:r>
    </w:p>
    <w:p w:rsidR="00BB17DF" w:rsidRDefault="00BB17DF" w:rsidP="00BB17D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B17DF" w:rsidRDefault="00BB17DF" w:rsidP="00BB17DF"/>
    <w:p w:rsidR="009C777C" w:rsidRDefault="009C777C"/>
    <w:sectPr w:rsidR="009C777C" w:rsidSect="001D2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B5" w:rsidRDefault="00A70BB5" w:rsidP="007D0033">
      <w:pPr>
        <w:spacing w:after="0" w:line="240" w:lineRule="auto"/>
      </w:pPr>
      <w:r>
        <w:separator/>
      </w:r>
    </w:p>
  </w:endnote>
  <w:endnote w:type="continuationSeparator" w:id="0">
    <w:p w:rsidR="00A70BB5" w:rsidRDefault="00A70BB5" w:rsidP="007D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33" w:rsidRDefault="007D00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33" w:rsidRDefault="007D003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33" w:rsidRDefault="007D003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B5" w:rsidRDefault="00A70BB5" w:rsidP="007D0033">
      <w:pPr>
        <w:spacing w:after="0" w:line="240" w:lineRule="auto"/>
      </w:pPr>
      <w:r>
        <w:separator/>
      </w:r>
    </w:p>
  </w:footnote>
  <w:footnote w:type="continuationSeparator" w:id="0">
    <w:p w:rsidR="00A70BB5" w:rsidRDefault="00A70BB5" w:rsidP="007D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33" w:rsidRDefault="007D003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33" w:rsidRPr="007D0033" w:rsidRDefault="00D30127" w:rsidP="007D0033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="007D0033" w:rsidRPr="007D0033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="007D0033" w:rsidRPr="007D0033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="007D0033" w:rsidRPr="007D0033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="007D0033" w:rsidRPr="007D0033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7D0033" w:rsidRDefault="007D0033" w:rsidP="007D0033">
    <w:pPr>
      <w:spacing w:line="240" w:lineRule="auto"/>
      <w:jc w:val="center"/>
    </w:pPr>
    <w:r w:rsidRPr="007D0033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33" w:rsidRDefault="007D003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DF"/>
    <w:rsid w:val="007D0033"/>
    <w:rsid w:val="009916EE"/>
    <w:rsid w:val="009C777C"/>
    <w:rsid w:val="00A70BB5"/>
    <w:rsid w:val="00BB17DF"/>
    <w:rsid w:val="00D3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7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033"/>
  </w:style>
  <w:style w:type="paragraph" w:styleId="llb">
    <w:name w:val="footer"/>
    <w:basedOn w:val="Norml"/>
    <w:link w:val="llbChar"/>
    <w:uiPriority w:val="99"/>
    <w:unhideWhenUsed/>
    <w:rsid w:val="007D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033"/>
  </w:style>
  <w:style w:type="character" w:styleId="Hiperhivatkozs">
    <w:name w:val="Hyperlink"/>
    <w:basedOn w:val="Bekezdsalapbettpusa"/>
    <w:uiPriority w:val="99"/>
    <w:semiHidden/>
    <w:unhideWhenUsed/>
    <w:rsid w:val="007D0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7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033"/>
  </w:style>
  <w:style w:type="paragraph" w:styleId="llb">
    <w:name w:val="footer"/>
    <w:basedOn w:val="Norml"/>
    <w:link w:val="llbChar"/>
    <w:uiPriority w:val="99"/>
    <w:unhideWhenUsed/>
    <w:rsid w:val="007D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033"/>
  </w:style>
  <w:style w:type="character" w:styleId="Hiperhivatkozs">
    <w:name w:val="Hyperlink"/>
    <w:basedOn w:val="Bekezdsalapbettpusa"/>
    <w:uiPriority w:val="99"/>
    <w:semiHidden/>
    <w:unhideWhenUsed/>
    <w:rsid w:val="007D0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user</cp:lastModifiedBy>
  <cp:revision>2</cp:revision>
  <cp:lastPrinted>2016-09-06T12:53:00Z</cp:lastPrinted>
  <dcterms:created xsi:type="dcterms:W3CDTF">2017-01-19T13:04:00Z</dcterms:created>
  <dcterms:modified xsi:type="dcterms:W3CDTF">2017-01-19T13:04:00Z</dcterms:modified>
</cp:coreProperties>
</file>