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0" w:rsidRDefault="00CF7A70" w:rsidP="00CF7A70">
      <w:pPr>
        <w:widowControl w:val="0"/>
        <w:spacing w:before="100" w:after="100" w:line="240" w:lineRule="auto"/>
        <w:jc w:val="center"/>
        <w:outlineLvl w:val="2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45. sorszámú Klinikai fogászati higiénikus megnevezésű szakképesítés–ráépülés szakmai és vizsgakövetelménye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1.1. A szakképesítés–ráépülés azonosító száma: 55 725 11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1.2. Szakképesítés–ráépülés megnevezése: Klinikai fogászati higiénikus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1.3. Iskolai rendszerű szakképzésben a szakképzési évfolyamok száma: 0,5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1.4. Iskolarendszeren kívüli szakképzésben az óraszám: 360–440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 A képzés megkezdésének feltételei: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2.1.1. Iskolai előképzettség: érettségi végzettség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2.2. Szakmai előképzettség: 54 720 02 Fogászati asszisztens szakképesítés 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2.3. Előírt gyakorlat: 1 év fogászati asszisztens munkakörben eltöltött idő, szakmai gyakorlat 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2.4. Egészségügyi alkalmassági követelmények: szükségesek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2.5. Pályaalkalmassági követelmények: nem szükségesek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2.6. Elméleti képzési idő aránya: 50%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2.7. Gyakorlati képzési idő aránya: 50%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 A szakképesítés–ráépüléssel legjellemzőbben betölthető munkakör, munkakörök, foglalkozás, foglalkozások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6"/>
        <w:gridCol w:w="1701"/>
        <w:gridCol w:w="2551"/>
        <w:gridCol w:w="5220"/>
      </w:tblGrid>
      <w:tr w:rsidR="00CF7A70" w:rsidTr="001349B5"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rPr>
          <w:trHeight w:val="400"/>
        </w:trPr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0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7A70" w:rsidTr="001349B5">
        <w:trPr>
          <w:cantSplit/>
        </w:trPr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01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</w:t>
            </w:r>
          </w:p>
        </w:tc>
        <w:tc>
          <w:tcPr>
            <w:tcW w:w="2551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asszisztens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fogászati higiénikus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3.2. A szakképesítés–ráépülés munkaterületének rövid leírása: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klinikai fogászati higiénikus a </w:t>
      </w:r>
      <w:proofErr w:type="gramStart"/>
      <w:r>
        <w:rPr>
          <w:sz w:val="20"/>
          <w:szCs w:val="20"/>
        </w:rPr>
        <w:t>fog(</w:t>
      </w:r>
      <w:proofErr w:type="gramEnd"/>
      <w:r>
        <w:rPr>
          <w:sz w:val="20"/>
          <w:szCs w:val="20"/>
        </w:rPr>
        <w:t xml:space="preserve">szak)orvos, a fogászati asszisztens és a fogtechnikus mellett tagja a fogászati munkacsoportnak, </w:t>
      </w:r>
      <w:proofErr w:type="spellStart"/>
      <w:r>
        <w:rPr>
          <w:sz w:val="20"/>
          <w:szCs w:val="20"/>
        </w:rPr>
        <w:t>csapatnek</w:t>
      </w:r>
      <w:proofErr w:type="spellEnd"/>
      <w:r>
        <w:rPr>
          <w:sz w:val="20"/>
          <w:szCs w:val="20"/>
        </w:rPr>
        <w:t xml:space="preserve">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fogászati </w:t>
      </w:r>
      <w:proofErr w:type="spellStart"/>
      <w:r>
        <w:rPr>
          <w:sz w:val="20"/>
          <w:szCs w:val="20"/>
        </w:rPr>
        <w:t>csapatben</w:t>
      </w:r>
      <w:proofErr w:type="spellEnd"/>
      <w:r>
        <w:rPr>
          <w:sz w:val="20"/>
          <w:szCs w:val="20"/>
        </w:rPr>
        <w:t xml:space="preserve"> végzett munkáján kívül önálló tevékenységet csak a fogászati egészségnevelés terén folytathat.  Önálló feladatkörrel csak a páciensek fogászati egészségnevelése és irányítása terén rendelkezik.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Rendelkezik a szükséges anatómiai–élettani ismertekkel. 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gyermek, ifjúsági és/vagy felnőtt fogászati alapellátás keretében prevenciós tevékenységet végez orvosi indikáció és felügyelet mellett.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államilag finanszírozott vagy magánszférába tartozó szakellátó ágazatban képzettségének megfelelően segédkezik a páciensek fogászati ellátásában, előkészíti a betegeket komplikáltabb beavatkozásokra, feladatai kiterjednek a kezelt és/vagy szájüregi műtéteken átesett betegek gondozására, és pszichés támogatására.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Aktívan részt vesz a preventív és egyéb gondozási, oktatási intézményrendszerek munkájában: óvoda, iskola– és ifjúsági fogászat, terhes–, csecsemő és kisgyermekgondozás, fogyatékkal élők fogazati prevenciós ellátása, idősek fogazati gondozása valamint ágyhoz, lakáshoz kötöttek fogazati gondozása.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Ismeri a hazai fogászati, és általános egészségügyi rendszer felépítését, működési elveit, követelményrendszerét, a magyarországi egészségügyi normákat, egészségügyi ellátási szinteket.</w:t>
      </w:r>
    </w:p>
    <w:p w:rsidR="00CF7A70" w:rsidRDefault="00CF7A70" w:rsidP="00CF7A70">
      <w:pPr>
        <w:widowControl w:val="0"/>
        <w:spacing w:after="0" w:line="240" w:lineRule="auto"/>
        <w:ind w:firstLine="240"/>
        <w:rPr>
          <w:sz w:val="20"/>
          <w:szCs w:val="20"/>
        </w:rPr>
      </w:pPr>
    </w:p>
    <w:p w:rsidR="00CF7A70" w:rsidRDefault="00CF7A70" w:rsidP="00CF7A70">
      <w:pPr>
        <w:widowControl w:val="0"/>
        <w:spacing w:after="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egészséges emberi szervezet, különös tekintettel a szájüreg és a fogazat alapvető biológiai jellemzőit összefüggésében látni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szájüregi egészség megőrzését szolgáló alapvető tevékenységeket a páciensekkel megismertetni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szakmai kommunikáció alapelveit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fogászati beavatkozásokhoz előkészíteni és a fogorvosi, szájsebészeti kezeléseknél, beavatkozásoknál </w:t>
      </w:r>
      <w:r>
        <w:rPr>
          <w:sz w:val="20"/>
          <w:szCs w:val="20"/>
        </w:rPr>
        <w:lastRenderedPageBreak/>
        <w:t>asszisztálni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munkaterület feladatait és a munkafolyamatokat szervezni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orvosi indikáció alapján és orvos felügyelete mellett elvégezni a preventív fogászati beavatkozásokat,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kezeléseket ambuláns és fekvőbetegeken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elvégezni a szájüreg </w:t>
      </w:r>
      <w:proofErr w:type="spellStart"/>
      <w:r>
        <w:rPr>
          <w:sz w:val="20"/>
          <w:szCs w:val="20"/>
        </w:rPr>
        <w:t>stomato</w:t>
      </w:r>
      <w:proofErr w:type="spellEnd"/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onkologiai</w:t>
      </w:r>
      <w:proofErr w:type="spellEnd"/>
      <w:r>
        <w:rPr>
          <w:sz w:val="20"/>
          <w:szCs w:val="20"/>
        </w:rPr>
        <w:t xml:space="preserve"> vizsgálatát 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munkája során alkalmazni a baleset–megelőzési előírásokat, szabályokat 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időben felismerni az egészségügyi kockázatot hordozó helyzeteket, a fertőzésveszélyt, a fertőzések átvitelének módját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bizonyítottan fertőzött, magas kockázatot jelentő páciensek kezelésének szabályait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fertőzések terjedésének betegről betegre, és/vagy kezelőszemélyzetre való átterjedésének megakadályozási lehetőségeit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elsősegélynyújtás szabályai szerint elsősegélyt nyújtani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munkáját az általános etikai normák, valamint a szakdolgozói munkaköre, feladatai, jogai, és kötelességei szerint végezni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tájékozódni az általa alkalmazható fogászati prevenciós eljárásokra vonatkozó idegen nyelvű szakirodalomban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alap számítástechnikai ismereteket felhasználói szinten alkalmazni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7"/>
        <w:gridCol w:w="1693"/>
        <w:gridCol w:w="3978"/>
        <w:gridCol w:w="3970"/>
      </w:tblGrid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720"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41" w:type="dxa"/>
            <w:gridSpan w:val="3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Gyógyszertári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3.3.8.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csecsemő és gyermekápoló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3.3.10.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3.3.11.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54 725 04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klinikai laboratóriumi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54 725 05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szövettani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54 725 06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3.3.14.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54 725 07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3.3.15.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54 725 09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Radiográfiai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3.3.16.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3.3.17.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54 726 04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3.3.18.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3.3.19.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Csecsemő és gyermekápoló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3.3.21.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55 725 18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55 725 21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55 726 02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Sportmasszőr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tbl>
      <w:tblPr>
        <w:tblW w:w="0" w:type="auto"/>
        <w:tblLayout w:type="fixed"/>
        <w:tblLook w:val="0000"/>
      </w:tblPr>
      <w:tblGrid>
        <w:gridCol w:w="849"/>
        <w:gridCol w:w="2412"/>
        <w:gridCol w:w="7195"/>
      </w:tblGrid>
      <w:tr w:rsidR="00CF7A70" w:rsidTr="001349B5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CF7A70" w:rsidTr="001349B5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F7A70" w:rsidTr="001349B5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CF7A70" w:rsidTr="001349B5">
        <w:trPr>
          <w:trHeight w:val="24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11192–16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higiénikus tevékenysége</w:t>
            </w:r>
          </w:p>
        </w:tc>
      </w:tr>
      <w:tr w:rsidR="00CF7A70" w:rsidTr="001349B5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11193–16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prevenció, </w:t>
            </w:r>
            <w:proofErr w:type="spellStart"/>
            <w:r>
              <w:rPr>
                <w:sz w:val="20"/>
                <w:szCs w:val="20"/>
              </w:rPr>
              <w:t>szájhigiéné</w:t>
            </w:r>
            <w:proofErr w:type="spellEnd"/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képzési curriculum teljesítésének, és a szakmai vizsgára való jelentkezés feltétele egy, a képzésen résztvevő klinikai fogászati higiénikus jelölt által, önállóan elkészítendő záró dolgozat. 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záró dolgozat célja: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elsajátított elméleti ismeretek alapján a leendő klinikai fogászati higiénikus a </w:t>
      </w:r>
      <w:proofErr w:type="spellStart"/>
      <w:r>
        <w:rPr>
          <w:sz w:val="20"/>
          <w:szCs w:val="20"/>
        </w:rPr>
        <w:t>tutora</w:t>
      </w:r>
      <w:proofErr w:type="spellEnd"/>
      <w:r>
        <w:rPr>
          <w:sz w:val="20"/>
          <w:szCs w:val="20"/>
        </w:rPr>
        <w:t xml:space="preserve"> segítségével képes legyen egy bizonyos, a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és/vagy prevenciós tevékenységgel összefüggő problémát meghatározni (pld. esetleírás</w:t>
      </w:r>
      <w:proofErr w:type="gramStart"/>
      <w:r>
        <w:rPr>
          <w:sz w:val="20"/>
          <w:szCs w:val="20"/>
        </w:rPr>
        <w:t>,:</w:t>
      </w:r>
      <w:proofErr w:type="gramEnd"/>
      <w:r>
        <w:rPr>
          <w:sz w:val="20"/>
          <w:szCs w:val="20"/>
        </w:rPr>
        <w:t xml:space="preserve"> szájvizsgálat. </w:t>
      </w:r>
      <w:proofErr w:type="spellStart"/>
      <w:r>
        <w:rPr>
          <w:sz w:val="20"/>
          <w:szCs w:val="20"/>
        </w:rPr>
        <w:t>rtg</w:t>
      </w:r>
      <w:proofErr w:type="spellEnd"/>
      <w:r>
        <w:rPr>
          <w:sz w:val="20"/>
          <w:szCs w:val="20"/>
        </w:rPr>
        <w:t>.,fotó, kezelés ).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záró dolgozat jellemzői, követelményei: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megoldandó probléma valódi legyen, elméleti vagy gyakorlati jellegű;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elkészítése kötelezően a kijelölt, vagy választott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irányításával, és segítségével történik;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választás előzetes megbeszélés alapján történik a szakképzésben résztvevő szakmai előadók közül; 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hallgató köteles legalább két alkalommal a </w:t>
      </w:r>
      <w:proofErr w:type="spellStart"/>
      <w:r>
        <w:rPr>
          <w:sz w:val="20"/>
          <w:szCs w:val="20"/>
        </w:rPr>
        <w:t>tutorával</w:t>
      </w:r>
      <w:proofErr w:type="spellEnd"/>
      <w:r>
        <w:rPr>
          <w:sz w:val="20"/>
          <w:szCs w:val="20"/>
        </w:rPr>
        <w:t xml:space="preserve"> konzultálni, mely konzultációt a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az aláírásával igazolja;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záró dolgozatot magyar nyelven írhatják, terjedelme nem haladhatja meg a 25 oldalt (Times New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 12 – betűtípus, 1,5 sortávolság). Ebbe a táblázatok, ábrák, szemléltető anyagok nem tartoznak bele; 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plágium, vagy a hivatkozások elhagyása, nem megfelelő alkalmazása a Klinikai fogászati higiénikus jelölt szakképzési programból való kizárását vonja maga után;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záró dolgozatot egy bekötött és egy elektronikus formában, a Klinikai fogászati higiénikus jelölteknek kötelezően le kell adni 10 nappal a komplex vizsga megkezdése előtt.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záró dolgozat értékelésének szempontjai: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Adható osztályzatok: </w:t>
      </w:r>
      <w:proofErr w:type="gramStart"/>
      <w:r>
        <w:rPr>
          <w:sz w:val="20"/>
          <w:szCs w:val="20"/>
        </w:rPr>
        <w:t>jeles(</w:t>
      </w:r>
      <w:proofErr w:type="gramEnd"/>
      <w:r>
        <w:rPr>
          <w:sz w:val="20"/>
          <w:szCs w:val="20"/>
        </w:rPr>
        <w:t>5), jó(4), közepes(3), elégséges(2), elégtelen(1);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Elégtelen(</w:t>
      </w:r>
      <w:proofErr w:type="gramEnd"/>
      <w:r>
        <w:rPr>
          <w:sz w:val="20"/>
          <w:szCs w:val="20"/>
        </w:rPr>
        <w:t>1) osztályzattal nem lehet komplex záró vizsgára jelentkezni;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záró dolgozat értékelése a szakmai követelmény–modulok felelőse vagy a tantárgyak/témakörök felelőseinek feladata.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gyakorlatok igazolt teljesítése, valamint osztályzattal értékelt záró dolgozat megléte.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5.2. A modulzáró vizsga vizsgatevékenysége és az eredményesség feltétele: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297"/>
        <w:gridCol w:w="3620"/>
        <w:gridCol w:w="4367"/>
      </w:tblGrid>
      <w:tr w:rsidR="00CF7A70" w:rsidTr="001349B5"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284" w:type="dxa"/>
            <w:gridSpan w:val="3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CF7A70" w:rsidTr="001349B5"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F7A70" w:rsidTr="001349B5"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11192–16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higiénikus tevékenysége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CF7A70" w:rsidTr="001349B5"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11193–16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prevenció, </w:t>
            </w:r>
            <w:proofErr w:type="spellStart"/>
            <w:r>
              <w:rPr>
                <w:sz w:val="20"/>
                <w:szCs w:val="20"/>
              </w:rPr>
              <w:t>szájhigiéné</w:t>
            </w:r>
            <w:proofErr w:type="spellEnd"/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5.3.1. Gyakorlati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Fogászati higiénikus tevékenységei, fogászati prevenciós tevékenység,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feladatok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</w:p>
    <w:p w:rsidR="00CF7A70" w:rsidRDefault="00CF7A70" w:rsidP="00CF7A70">
      <w:pPr>
        <w:widowControl w:val="0"/>
        <w:shd w:val="clear" w:color="auto" w:fill="FFFFFF"/>
        <w:spacing w:before="100" w:after="119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fogászati szakrendelőben a kezelő helységet, valamint a fogászati kezelésekhez szükséges eszközöket előkészíti, asszisztál beavatkozásoknál, az adott kezelési feladatot kivitelezi, </w:t>
      </w:r>
    </w:p>
    <w:p w:rsidR="00CF7A70" w:rsidRDefault="00CF7A70" w:rsidP="00CF7A70">
      <w:pPr>
        <w:widowControl w:val="0"/>
        <w:shd w:val="clear" w:color="auto" w:fill="FFFFFF"/>
        <w:spacing w:before="100" w:after="119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elvégzi</w:t>
      </w:r>
      <w:proofErr w:type="gramEnd"/>
      <w:r>
        <w:rPr>
          <w:sz w:val="20"/>
          <w:szCs w:val="20"/>
        </w:rPr>
        <w:t xml:space="preserve"> a kezelőszékben ülő páciens instruálását, illetve motiválását, a fogászati prevenciós feladatokat  az adott szituációban kivitelezi.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megnevezése: Komplex szakmai írásbeli feladatsor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következő elemeket tartalmazzák: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fogászati kezelések szakmai ismereteinek alkalmazása, dokumentálása a klinikai fogászati higiénikus tevékenységében a konzerváló fogászat, a fogpótlástan, a szájsebészet, szájnyálkahártya betegségek, a </w:t>
      </w:r>
      <w:proofErr w:type="spellStart"/>
      <w:r>
        <w:rPr>
          <w:sz w:val="20"/>
          <w:szCs w:val="20"/>
        </w:rPr>
        <w:t>parodontológia</w:t>
      </w:r>
      <w:proofErr w:type="spellEnd"/>
      <w:r>
        <w:rPr>
          <w:sz w:val="20"/>
          <w:szCs w:val="20"/>
        </w:rPr>
        <w:t>, a gyermekfogászati szakellátás során.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Fogászati higiénikus tevékenységei, fogászati prevenciós tevékenység,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feladatok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5.5. A szakmai vizsga értékelésének a szakmai vizsgaszabályzattól eltérő szempontjai: 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161"/>
        <w:gridCol w:w="9045"/>
      </w:tblGrid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demonstrációs gyakorlatokhoz oktatóhelység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interaktív tábla, kivetítő vászon, számítógép</w:t>
            </w:r>
            <w:proofErr w:type="gramStart"/>
            <w:r>
              <w:rPr>
                <w:sz w:val="20"/>
                <w:szCs w:val="20"/>
              </w:rPr>
              <w:t>)  .</w:t>
            </w:r>
            <w:proofErr w:type="gramEnd"/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Működő fogászati egységkészülék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Szájsebészetben alkalmazott eszközök:</w:t>
            </w:r>
          </w:p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fogók fogcsoportonként, sebészi kések, sebészi ollók, Balogh–féle ínyleválasztó, </w:t>
            </w:r>
            <w:proofErr w:type="spellStart"/>
            <w:r>
              <w:rPr>
                <w:sz w:val="20"/>
                <w:szCs w:val="20"/>
              </w:rPr>
              <w:t>raspatórium</w:t>
            </w:r>
            <w:proofErr w:type="spellEnd"/>
            <w:r>
              <w:rPr>
                <w:sz w:val="20"/>
                <w:szCs w:val="20"/>
              </w:rPr>
              <w:t xml:space="preserve">, szájsebészeti vésők, csontfúrók, </w:t>
            </w:r>
            <w:proofErr w:type="spellStart"/>
            <w:r>
              <w:rPr>
                <w:sz w:val="20"/>
                <w:szCs w:val="20"/>
              </w:rPr>
              <w:t>Volkmann</w:t>
            </w:r>
            <w:proofErr w:type="spellEnd"/>
            <w:r>
              <w:rPr>
                <w:sz w:val="20"/>
                <w:szCs w:val="20"/>
              </w:rPr>
              <w:t xml:space="preserve">–féle kanál, </w:t>
            </w:r>
            <w:proofErr w:type="spellStart"/>
            <w:r>
              <w:rPr>
                <w:sz w:val="20"/>
                <w:szCs w:val="20"/>
              </w:rPr>
              <w:t>Kerpel</w:t>
            </w:r>
            <w:proofErr w:type="spellEnd"/>
            <w:r>
              <w:rPr>
                <w:sz w:val="20"/>
                <w:szCs w:val="20"/>
              </w:rPr>
              <w:t xml:space="preserve"> féle kanál, csontcsípők, fogemelők, </w:t>
            </w:r>
            <w:proofErr w:type="gramStart"/>
            <w:r>
              <w:rPr>
                <w:sz w:val="20"/>
                <w:szCs w:val="20"/>
              </w:rPr>
              <w:t>gyökér emelők</w:t>
            </w:r>
            <w:proofErr w:type="gramEnd"/>
            <w:r>
              <w:rPr>
                <w:sz w:val="20"/>
                <w:szCs w:val="20"/>
              </w:rPr>
              <w:t xml:space="preserve">, horgas csipesz, anatómiai csipesz, érfogó, </w:t>
            </w:r>
            <w:proofErr w:type="spellStart"/>
            <w:r>
              <w:rPr>
                <w:sz w:val="20"/>
                <w:szCs w:val="20"/>
              </w:rPr>
              <w:t>szájzúg</w:t>
            </w:r>
            <w:proofErr w:type="spellEnd"/>
            <w:r>
              <w:rPr>
                <w:sz w:val="20"/>
                <w:szCs w:val="20"/>
              </w:rPr>
              <w:t xml:space="preserve"> kampó, sebkampó, </w:t>
            </w:r>
            <w:proofErr w:type="spellStart"/>
            <w:r>
              <w:rPr>
                <w:sz w:val="20"/>
                <w:szCs w:val="20"/>
              </w:rPr>
              <w:t>lapocok</w:t>
            </w:r>
            <w:proofErr w:type="spellEnd"/>
            <w:r>
              <w:rPr>
                <w:sz w:val="20"/>
                <w:szCs w:val="20"/>
              </w:rPr>
              <w:t xml:space="preserve">, tűfogó, </w:t>
            </w:r>
            <w:proofErr w:type="spellStart"/>
            <w:r>
              <w:rPr>
                <w:sz w:val="20"/>
                <w:szCs w:val="20"/>
              </w:rPr>
              <w:t>atraumatikus</w:t>
            </w:r>
            <w:proofErr w:type="spellEnd"/>
            <w:r>
              <w:rPr>
                <w:sz w:val="20"/>
                <w:szCs w:val="20"/>
              </w:rPr>
              <w:t xml:space="preserve"> varróanyagok, sebészeti szívó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Gyermekfogászatban használt speciális eszközök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eszközök: </w:t>
            </w:r>
          </w:p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fogászati tükör, fogászati szonda, fogászati csipesz, különféle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szondák, kézi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supra</w:t>
            </w:r>
            <w:proofErr w:type="spellEnd"/>
            <w:r>
              <w:rPr>
                <w:sz w:val="20"/>
                <w:szCs w:val="20"/>
              </w:rPr>
              <w:t xml:space="preserve">– és </w:t>
            </w:r>
            <w:proofErr w:type="spellStart"/>
            <w:r>
              <w:rPr>
                <w:sz w:val="20"/>
                <w:szCs w:val="20"/>
              </w:rPr>
              <w:t>subgingivalis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Gracy</w:t>
            </w:r>
            <w:proofErr w:type="spellEnd"/>
            <w:r>
              <w:rPr>
                <w:sz w:val="20"/>
                <w:szCs w:val="20"/>
              </w:rPr>
              <w:t xml:space="preserve">  küret</w:t>
            </w:r>
            <w:proofErr w:type="gramEnd"/>
            <w:r>
              <w:rPr>
                <w:sz w:val="20"/>
                <w:szCs w:val="20"/>
              </w:rPr>
              <w:t xml:space="preserve"> szett, különféle küret kanalak,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kések, speciális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scalerek</w:t>
            </w:r>
            <w:proofErr w:type="spellEnd"/>
            <w:r>
              <w:rPr>
                <w:sz w:val="20"/>
                <w:szCs w:val="20"/>
              </w:rPr>
              <w:t xml:space="preserve">, ollók, polírozó kefék, csíkok, </w:t>
            </w:r>
            <w:proofErr w:type="spellStart"/>
            <w:r>
              <w:rPr>
                <w:sz w:val="20"/>
                <w:szCs w:val="20"/>
              </w:rPr>
              <w:t>mulázs</w:t>
            </w:r>
            <w:proofErr w:type="spellEnd"/>
            <w:r>
              <w:rPr>
                <w:sz w:val="20"/>
                <w:szCs w:val="20"/>
              </w:rPr>
              <w:t>, kézi fogkeféket bemutató szett.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Gépi eszközök: </w:t>
            </w:r>
            <w:proofErr w:type="spellStart"/>
            <w:r>
              <w:rPr>
                <w:sz w:val="20"/>
                <w:szCs w:val="20"/>
              </w:rPr>
              <w:t>sonikus</w:t>
            </w:r>
            <w:proofErr w:type="spellEnd"/>
            <w:r>
              <w:rPr>
                <w:sz w:val="20"/>
                <w:szCs w:val="20"/>
              </w:rPr>
              <w:t xml:space="preserve"> és ultrahangos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>, EVA System, Air Flow készülék, elektromos és ultrahangos fogkefe bemutató szett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röntgenkészülék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Dokumentumok</w:t>
            </w:r>
          </w:p>
        </w:tc>
      </w:tr>
      <w:tr w:rsidR="00CF7A70" w:rsidTr="001349B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Archiválás eszközei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CF7A70" w:rsidRDefault="00D12369" w:rsidP="00CF7A70"/>
    <w:sectPr w:rsidR="00D12369" w:rsidRPr="00CF7A70" w:rsidSect="00625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C8" w:rsidRDefault="001372C8" w:rsidP="00AC4D3B">
      <w:pPr>
        <w:spacing w:after="0" w:line="240" w:lineRule="auto"/>
      </w:pPr>
      <w:r>
        <w:separator/>
      </w:r>
    </w:p>
  </w:endnote>
  <w:endnote w:type="continuationSeparator" w:id="0">
    <w:p w:rsidR="001372C8" w:rsidRDefault="001372C8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C8" w:rsidRDefault="001372C8" w:rsidP="00AC4D3B">
      <w:pPr>
        <w:spacing w:after="0" w:line="240" w:lineRule="auto"/>
      </w:pPr>
      <w:r>
        <w:separator/>
      </w:r>
    </w:p>
  </w:footnote>
  <w:footnote w:type="continuationSeparator" w:id="0">
    <w:p w:rsidR="001372C8" w:rsidRDefault="001372C8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D3B"/>
    <w:rsid w:val="000201C9"/>
    <w:rsid w:val="000C0007"/>
    <w:rsid w:val="001372C8"/>
    <w:rsid w:val="0019228E"/>
    <w:rsid w:val="00251C51"/>
    <w:rsid w:val="002B6261"/>
    <w:rsid w:val="002F72E4"/>
    <w:rsid w:val="00410F44"/>
    <w:rsid w:val="00481A07"/>
    <w:rsid w:val="00625F42"/>
    <w:rsid w:val="00676B0D"/>
    <w:rsid w:val="006B036A"/>
    <w:rsid w:val="006F24CA"/>
    <w:rsid w:val="00751E79"/>
    <w:rsid w:val="0098526F"/>
    <w:rsid w:val="009C321A"/>
    <w:rsid w:val="00AA57AD"/>
    <w:rsid w:val="00AC4D3B"/>
    <w:rsid w:val="00BC6FAD"/>
    <w:rsid w:val="00C551B7"/>
    <w:rsid w:val="00C74410"/>
    <w:rsid w:val="00CF7A70"/>
    <w:rsid w:val="00D12369"/>
    <w:rsid w:val="00DB25A6"/>
    <w:rsid w:val="00ED336C"/>
    <w:rsid w:val="00ED7A0C"/>
    <w:rsid w:val="00EF4F98"/>
    <w:rsid w:val="00F420C5"/>
    <w:rsid w:val="00FA6F67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user</cp:lastModifiedBy>
  <cp:revision>2</cp:revision>
  <dcterms:created xsi:type="dcterms:W3CDTF">2017-03-27T07:16:00Z</dcterms:created>
  <dcterms:modified xsi:type="dcterms:W3CDTF">2017-03-27T07:16:00Z</dcterms:modified>
</cp:coreProperties>
</file>